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1600"/>
        <w:gridCol w:w="3089"/>
        <w:gridCol w:w="3091"/>
        <w:gridCol w:w="4837"/>
      </w:tblGrid>
      <w:tr w:rsidR="00DD2473" w:rsidTr="009B0B0D">
        <w:trPr>
          <w:trHeight w:val="800"/>
        </w:trPr>
        <w:tc>
          <w:tcPr>
            <w:tcW w:w="1915" w:type="dxa"/>
            <w:vMerge w:val="restart"/>
          </w:tcPr>
          <w:p w:rsidR="00DD2473" w:rsidRDefault="00DD2473" w:rsidP="00236927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236927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236927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236927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236927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236927">
            <w:pPr>
              <w:jc w:val="center"/>
              <w:rPr>
                <w:sz w:val="28"/>
                <w:szCs w:val="28"/>
              </w:rPr>
            </w:pPr>
          </w:p>
          <w:p w:rsidR="00236927" w:rsidRPr="002D40F0" w:rsidRDefault="00236927" w:rsidP="00236927">
            <w:pPr>
              <w:jc w:val="center"/>
              <w:rPr>
                <w:sz w:val="28"/>
                <w:szCs w:val="28"/>
              </w:rPr>
            </w:pPr>
            <w:r w:rsidRPr="002D40F0">
              <w:rPr>
                <w:sz w:val="28"/>
                <w:szCs w:val="28"/>
              </w:rPr>
              <w:t>Pedagogy,</w:t>
            </w:r>
          </w:p>
          <w:p w:rsidR="00236927" w:rsidRPr="002D40F0" w:rsidRDefault="00236927" w:rsidP="00236927">
            <w:pPr>
              <w:jc w:val="center"/>
              <w:rPr>
                <w:sz w:val="28"/>
                <w:szCs w:val="28"/>
              </w:rPr>
            </w:pPr>
            <w:r w:rsidRPr="002D40F0">
              <w:rPr>
                <w:sz w:val="28"/>
                <w:szCs w:val="28"/>
              </w:rPr>
              <w:t>Andragogy,</w:t>
            </w:r>
          </w:p>
          <w:p w:rsidR="00236927" w:rsidRPr="002D40F0" w:rsidRDefault="00236927" w:rsidP="00236927">
            <w:pPr>
              <w:jc w:val="center"/>
              <w:rPr>
                <w:sz w:val="28"/>
                <w:szCs w:val="28"/>
              </w:rPr>
            </w:pPr>
            <w:r w:rsidRPr="002D40F0">
              <w:rPr>
                <w:sz w:val="28"/>
                <w:szCs w:val="28"/>
              </w:rPr>
              <w:t>Heutagogy</w:t>
            </w:r>
          </w:p>
          <w:p w:rsidR="00236927" w:rsidRPr="002D40F0" w:rsidRDefault="00236927" w:rsidP="00236927">
            <w:pPr>
              <w:jc w:val="center"/>
              <w:rPr>
                <w:sz w:val="28"/>
                <w:szCs w:val="28"/>
              </w:rPr>
            </w:pPr>
            <w:r w:rsidRPr="002D40F0">
              <w:rPr>
                <w:sz w:val="28"/>
                <w:szCs w:val="28"/>
              </w:rPr>
              <w:t>Compared</w:t>
            </w:r>
          </w:p>
          <w:p w:rsidR="00236927" w:rsidRPr="002D40F0" w:rsidRDefault="00236927" w:rsidP="00236927">
            <w:pPr>
              <w:jc w:val="center"/>
              <w:rPr>
                <w:sz w:val="28"/>
                <w:szCs w:val="28"/>
              </w:rPr>
            </w:pPr>
          </w:p>
          <w:p w:rsidR="00236927" w:rsidRPr="002D40F0" w:rsidRDefault="00236927" w:rsidP="00236927">
            <w:pPr>
              <w:jc w:val="center"/>
              <w:rPr>
                <w:sz w:val="28"/>
                <w:szCs w:val="28"/>
              </w:rPr>
            </w:pPr>
            <w:r w:rsidRPr="002D40F0">
              <w:rPr>
                <w:sz w:val="28"/>
                <w:szCs w:val="28"/>
              </w:rPr>
              <w:t>Heutagogy:</w:t>
            </w:r>
          </w:p>
          <w:p w:rsidR="00236927" w:rsidRPr="002D40F0" w:rsidRDefault="00236927" w:rsidP="00236927">
            <w:pPr>
              <w:jc w:val="center"/>
              <w:rPr>
                <w:sz w:val="28"/>
                <w:szCs w:val="28"/>
              </w:rPr>
            </w:pPr>
            <w:r w:rsidRPr="002D40F0">
              <w:rPr>
                <w:sz w:val="28"/>
                <w:szCs w:val="28"/>
              </w:rPr>
              <w:t xml:space="preserve">The </w:t>
            </w:r>
          </w:p>
          <w:p w:rsidR="00236927" w:rsidRDefault="00236927" w:rsidP="00236927">
            <w:pPr>
              <w:jc w:val="center"/>
              <w:rPr>
                <w:sz w:val="28"/>
                <w:szCs w:val="28"/>
              </w:rPr>
            </w:pPr>
            <w:r w:rsidRPr="002D40F0">
              <w:rPr>
                <w:sz w:val="28"/>
                <w:szCs w:val="28"/>
              </w:rPr>
              <w:t>management of self-managed learners</w:t>
            </w:r>
          </w:p>
          <w:p w:rsidR="002D40F0" w:rsidRDefault="002D40F0" w:rsidP="00236927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DD2473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DD2473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DD2473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DD2473">
            <w:pPr>
              <w:jc w:val="center"/>
              <w:rPr>
                <w:sz w:val="28"/>
                <w:szCs w:val="28"/>
              </w:rPr>
            </w:pPr>
          </w:p>
          <w:p w:rsidR="00DD2473" w:rsidRDefault="00DD2473" w:rsidP="00DD2473">
            <w:pPr>
              <w:jc w:val="center"/>
              <w:rPr>
                <w:sz w:val="28"/>
                <w:szCs w:val="28"/>
              </w:rPr>
            </w:pPr>
          </w:p>
          <w:p w:rsidR="00DD2473" w:rsidRPr="00DD2473" w:rsidRDefault="00DD2473" w:rsidP="00DD2473">
            <w:pPr>
              <w:jc w:val="center"/>
              <w:rPr>
                <w:rStyle w:val="Hyperlink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Heutagogy Community of Practice. (2019).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"https://heutagogycop.wordpress.com/"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="00F63ED7">
              <w:rPr>
                <w:rStyle w:val="Hyperlink"/>
                <w:sz w:val="28"/>
                <w:szCs w:val="28"/>
              </w:rPr>
              <w:t>H</w:t>
            </w:r>
            <w:bookmarkStart w:id="0" w:name="_GoBack"/>
            <w:bookmarkEnd w:id="0"/>
            <w:r w:rsidRPr="00DD2473">
              <w:rPr>
                <w:rStyle w:val="Hyperlink"/>
                <w:sz w:val="28"/>
                <w:szCs w:val="28"/>
              </w:rPr>
              <w:t>eutagogy</w:t>
            </w:r>
            <w:r w:rsidR="00F63ED7">
              <w:rPr>
                <w:rStyle w:val="Hyperlink"/>
                <w:sz w:val="28"/>
                <w:szCs w:val="28"/>
              </w:rPr>
              <w:t>C</w:t>
            </w:r>
            <w:r w:rsidRPr="00DD2473">
              <w:rPr>
                <w:rStyle w:val="Hyperlink"/>
                <w:sz w:val="28"/>
                <w:szCs w:val="28"/>
              </w:rPr>
              <w:t>o</w:t>
            </w:r>
            <w:r w:rsidR="00F63ED7">
              <w:rPr>
                <w:rStyle w:val="Hyperlink"/>
                <w:sz w:val="28"/>
                <w:szCs w:val="28"/>
              </w:rPr>
              <w:t>P</w:t>
            </w:r>
            <w:r w:rsidRPr="00DD2473">
              <w:rPr>
                <w:rStyle w:val="Hyperlink"/>
                <w:sz w:val="28"/>
                <w:szCs w:val="28"/>
              </w:rPr>
              <w:t>.</w:t>
            </w:r>
          </w:p>
          <w:p w:rsidR="002D40F0" w:rsidRDefault="00DD2473" w:rsidP="00DD2473">
            <w:pPr>
              <w:jc w:val="center"/>
            </w:pPr>
            <w:r w:rsidRPr="00DD2473">
              <w:rPr>
                <w:rStyle w:val="Hyperlink"/>
                <w:sz w:val="28"/>
                <w:szCs w:val="28"/>
              </w:rPr>
              <w:t>wordpress.com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33" w:type="dxa"/>
          </w:tcPr>
          <w:p w:rsidR="00236927" w:rsidRDefault="00236927" w:rsidP="005A2B22"/>
        </w:tc>
        <w:tc>
          <w:tcPr>
            <w:tcW w:w="3150" w:type="dxa"/>
            <w:vAlign w:val="center"/>
          </w:tcPr>
          <w:p w:rsidR="00236927" w:rsidRPr="009B0B0D" w:rsidRDefault="00236927" w:rsidP="009B0B0D">
            <w:pPr>
              <w:jc w:val="center"/>
              <w:rPr>
                <w:b/>
                <w:sz w:val="28"/>
                <w:szCs w:val="28"/>
              </w:rPr>
            </w:pPr>
            <w:r w:rsidRPr="009B0B0D">
              <w:rPr>
                <w:b/>
                <w:sz w:val="28"/>
                <w:szCs w:val="28"/>
              </w:rPr>
              <w:t>Pedagogy</w:t>
            </w:r>
          </w:p>
          <w:p w:rsidR="00236927" w:rsidRPr="009B0B0D" w:rsidRDefault="00236927" w:rsidP="009B0B0D">
            <w:pPr>
              <w:jc w:val="center"/>
              <w:rPr>
                <w:b/>
                <w:sz w:val="28"/>
                <w:szCs w:val="28"/>
              </w:rPr>
            </w:pPr>
            <w:r w:rsidRPr="009B0B0D">
              <w:rPr>
                <w:b/>
                <w:sz w:val="28"/>
                <w:szCs w:val="28"/>
              </w:rPr>
              <w:t>Children’s learning</w:t>
            </w:r>
          </w:p>
        </w:tc>
        <w:tc>
          <w:tcPr>
            <w:tcW w:w="3150" w:type="dxa"/>
            <w:vAlign w:val="center"/>
          </w:tcPr>
          <w:p w:rsidR="00236927" w:rsidRPr="009B0B0D" w:rsidRDefault="00236927" w:rsidP="009B0B0D">
            <w:pPr>
              <w:jc w:val="center"/>
              <w:rPr>
                <w:b/>
                <w:sz w:val="28"/>
                <w:szCs w:val="28"/>
              </w:rPr>
            </w:pPr>
            <w:r w:rsidRPr="009B0B0D">
              <w:rPr>
                <w:b/>
                <w:sz w:val="28"/>
                <w:szCs w:val="28"/>
              </w:rPr>
              <w:t>Andragogy</w:t>
            </w:r>
          </w:p>
          <w:p w:rsidR="00236927" w:rsidRPr="009B0B0D" w:rsidRDefault="00236927" w:rsidP="009B0B0D">
            <w:pPr>
              <w:jc w:val="center"/>
              <w:rPr>
                <w:b/>
                <w:sz w:val="28"/>
                <w:szCs w:val="28"/>
              </w:rPr>
            </w:pPr>
            <w:r w:rsidRPr="009B0B0D">
              <w:rPr>
                <w:b/>
                <w:sz w:val="28"/>
                <w:szCs w:val="28"/>
              </w:rPr>
              <w:t>Adults learning</w:t>
            </w:r>
          </w:p>
        </w:tc>
        <w:tc>
          <w:tcPr>
            <w:tcW w:w="4950" w:type="dxa"/>
            <w:vAlign w:val="center"/>
          </w:tcPr>
          <w:p w:rsidR="00236927" w:rsidRPr="009B0B0D" w:rsidRDefault="00236927" w:rsidP="009B0B0D">
            <w:pPr>
              <w:jc w:val="center"/>
              <w:rPr>
                <w:b/>
                <w:sz w:val="28"/>
                <w:szCs w:val="28"/>
              </w:rPr>
            </w:pPr>
            <w:r w:rsidRPr="009B0B0D">
              <w:rPr>
                <w:b/>
                <w:sz w:val="28"/>
                <w:szCs w:val="28"/>
              </w:rPr>
              <w:t>Heutagogy</w:t>
            </w:r>
          </w:p>
          <w:p w:rsidR="00236927" w:rsidRPr="009B0B0D" w:rsidRDefault="00236927" w:rsidP="009B0B0D">
            <w:pPr>
              <w:jc w:val="center"/>
              <w:rPr>
                <w:b/>
                <w:sz w:val="28"/>
                <w:szCs w:val="28"/>
              </w:rPr>
            </w:pPr>
            <w:r w:rsidRPr="009B0B0D">
              <w:rPr>
                <w:b/>
                <w:sz w:val="28"/>
                <w:szCs w:val="28"/>
              </w:rPr>
              <w:t>Self-directed learning</w:t>
            </w:r>
          </w:p>
        </w:tc>
      </w:tr>
      <w:tr w:rsidR="00DD2473" w:rsidTr="00AF1BFA">
        <w:tc>
          <w:tcPr>
            <w:tcW w:w="1915" w:type="dxa"/>
            <w:vMerge/>
          </w:tcPr>
          <w:p w:rsidR="00236927" w:rsidRDefault="00236927" w:rsidP="005A2B22"/>
        </w:tc>
        <w:tc>
          <w:tcPr>
            <w:tcW w:w="1433" w:type="dxa"/>
            <w:shd w:val="clear" w:color="auto" w:fill="F2F2F2" w:themeFill="background1" w:themeFillShade="F2"/>
          </w:tcPr>
          <w:p w:rsidR="00236927" w:rsidRPr="009B0B0D" w:rsidRDefault="00236927" w:rsidP="005A2B22">
            <w:pPr>
              <w:rPr>
                <w:sz w:val="28"/>
                <w:szCs w:val="28"/>
              </w:rPr>
            </w:pPr>
            <w:r w:rsidRPr="009B0B0D">
              <w:rPr>
                <w:sz w:val="28"/>
                <w:szCs w:val="28"/>
              </w:rPr>
              <w:t>Dependence</w:t>
            </w:r>
          </w:p>
        </w:tc>
        <w:tc>
          <w:tcPr>
            <w:tcW w:w="3150" w:type="dxa"/>
          </w:tcPr>
          <w:p w:rsidR="00236927" w:rsidRDefault="004706BB" w:rsidP="005A2B22">
            <w:r>
              <w:t xml:space="preserve">The learner is a dependent personality. Teacher determines what, how, and when anything is learned. </w:t>
            </w:r>
          </w:p>
        </w:tc>
        <w:tc>
          <w:tcPr>
            <w:tcW w:w="3150" w:type="dxa"/>
          </w:tcPr>
          <w:p w:rsidR="00236927" w:rsidRDefault="004706BB" w:rsidP="004706BB">
            <w:r>
              <w:t xml:space="preserve">Adults are independent. They strive for autonomy and self-direction in learning. </w:t>
            </w:r>
          </w:p>
        </w:tc>
        <w:tc>
          <w:tcPr>
            <w:tcW w:w="4950" w:type="dxa"/>
          </w:tcPr>
          <w:p w:rsidR="00236927" w:rsidRDefault="004706BB" w:rsidP="005A2B22">
            <w:r>
              <w:t xml:space="preserve">Learners are interdependent. They identify the potential to learn from novel experiences as a matter of course. They are able to manage their own learning. </w:t>
            </w:r>
          </w:p>
        </w:tc>
      </w:tr>
      <w:tr w:rsidR="00DD2473" w:rsidTr="00AF1BFA">
        <w:tc>
          <w:tcPr>
            <w:tcW w:w="1915" w:type="dxa"/>
            <w:vMerge/>
          </w:tcPr>
          <w:p w:rsidR="00236927" w:rsidRDefault="00236927" w:rsidP="005A2B22"/>
        </w:tc>
        <w:tc>
          <w:tcPr>
            <w:tcW w:w="1433" w:type="dxa"/>
            <w:shd w:val="clear" w:color="auto" w:fill="F2F2F2" w:themeFill="background1" w:themeFillShade="F2"/>
          </w:tcPr>
          <w:p w:rsidR="00236927" w:rsidRPr="009B0B0D" w:rsidRDefault="00236927" w:rsidP="005A2B22">
            <w:pPr>
              <w:rPr>
                <w:sz w:val="28"/>
                <w:szCs w:val="28"/>
              </w:rPr>
            </w:pPr>
            <w:r w:rsidRPr="009B0B0D">
              <w:rPr>
                <w:sz w:val="28"/>
                <w:szCs w:val="28"/>
              </w:rPr>
              <w:t xml:space="preserve">Resources for learning </w:t>
            </w:r>
          </w:p>
        </w:tc>
        <w:tc>
          <w:tcPr>
            <w:tcW w:w="3150" w:type="dxa"/>
          </w:tcPr>
          <w:p w:rsidR="00236927" w:rsidRDefault="004706BB" w:rsidP="005A2B22">
            <w:r>
              <w:t xml:space="preserve">The learner has few resources – the teacher devises transmission techniques to store knowledge in the learner’s head. </w:t>
            </w:r>
          </w:p>
        </w:tc>
        <w:tc>
          <w:tcPr>
            <w:tcW w:w="3150" w:type="dxa"/>
          </w:tcPr>
          <w:p w:rsidR="00236927" w:rsidRDefault="00042AAC" w:rsidP="005A2B22">
            <w:r>
              <w:t xml:space="preserve">Adults use their own and other’s experience. </w:t>
            </w:r>
          </w:p>
        </w:tc>
        <w:tc>
          <w:tcPr>
            <w:tcW w:w="4950" w:type="dxa"/>
          </w:tcPr>
          <w:p w:rsidR="00236927" w:rsidRDefault="00042AAC" w:rsidP="005A2B22">
            <w:r>
              <w:t xml:space="preserve">Teacher provides some resources but the learner decides the path by negotiating the learning. </w:t>
            </w:r>
          </w:p>
        </w:tc>
      </w:tr>
      <w:tr w:rsidR="00DD2473" w:rsidTr="00AF1BFA">
        <w:tc>
          <w:tcPr>
            <w:tcW w:w="1915" w:type="dxa"/>
            <w:vMerge/>
          </w:tcPr>
          <w:p w:rsidR="00236927" w:rsidRDefault="00236927" w:rsidP="005A2B22"/>
        </w:tc>
        <w:tc>
          <w:tcPr>
            <w:tcW w:w="1433" w:type="dxa"/>
            <w:shd w:val="clear" w:color="auto" w:fill="F2F2F2" w:themeFill="background1" w:themeFillShade="F2"/>
          </w:tcPr>
          <w:p w:rsidR="00236927" w:rsidRPr="009B0B0D" w:rsidRDefault="00236927" w:rsidP="005A2B22">
            <w:pPr>
              <w:rPr>
                <w:sz w:val="28"/>
                <w:szCs w:val="28"/>
              </w:rPr>
            </w:pPr>
            <w:r w:rsidRPr="009B0B0D">
              <w:rPr>
                <w:sz w:val="28"/>
                <w:szCs w:val="28"/>
              </w:rPr>
              <w:t xml:space="preserve">Reasons for learning </w:t>
            </w:r>
          </w:p>
        </w:tc>
        <w:tc>
          <w:tcPr>
            <w:tcW w:w="3150" w:type="dxa"/>
          </w:tcPr>
          <w:p w:rsidR="00236927" w:rsidRDefault="004706BB" w:rsidP="005A2B22">
            <w:r>
              <w:t xml:space="preserve">Learn in order to advance to the next stage. </w:t>
            </w:r>
          </w:p>
        </w:tc>
        <w:tc>
          <w:tcPr>
            <w:tcW w:w="3150" w:type="dxa"/>
          </w:tcPr>
          <w:p w:rsidR="00236927" w:rsidRDefault="00042AAC" w:rsidP="005A2B22">
            <w:r>
              <w:t xml:space="preserve">Adults learn when they experience a need to know or to perform more effectively. </w:t>
            </w:r>
          </w:p>
          <w:p w:rsidR="00042AAC" w:rsidRDefault="00042AAC" w:rsidP="005A2B22"/>
        </w:tc>
        <w:tc>
          <w:tcPr>
            <w:tcW w:w="4950" w:type="dxa"/>
          </w:tcPr>
          <w:p w:rsidR="00042AAC" w:rsidRDefault="00042AAC" w:rsidP="005A2B22">
            <w:r>
              <w:t xml:space="preserve">Learning is not necessarily planned or linear. Learning is not necessarily based on need but on the identification of the potential to learn in novel situations. </w:t>
            </w:r>
          </w:p>
          <w:p w:rsidR="00560064" w:rsidRDefault="00560064" w:rsidP="005A2B22"/>
        </w:tc>
      </w:tr>
      <w:tr w:rsidR="00DD2473" w:rsidTr="00AF1BFA">
        <w:tc>
          <w:tcPr>
            <w:tcW w:w="1915" w:type="dxa"/>
            <w:vMerge/>
          </w:tcPr>
          <w:p w:rsidR="00236927" w:rsidRDefault="00236927" w:rsidP="005A2B22"/>
        </w:tc>
        <w:tc>
          <w:tcPr>
            <w:tcW w:w="1433" w:type="dxa"/>
            <w:shd w:val="clear" w:color="auto" w:fill="F2F2F2" w:themeFill="background1" w:themeFillShade="F2"/>
          </w:tcPr>
          <w:p w:rsidR="00236927" w:rsidRPr="009B0B0D" w:rsidRDefault="00236927" w:rsidP="005A2B22">
            <w:pPr>
              <w:rPr>
                <w:sz w:val="28"/>
                <w:szCs w:val="28"/>
              </w:rPr>
            </w:pPr>
            <w:r w:rsidRPr="009B0B0D">
              <w:rPr>
                <w:sz w:val="28"/>
                <w:szCs w:val="28"/>
              </w:rPr>
              <w:t xml:space="preserve">Focus of learning </w:t>
            </w:r>
          </w:p>
        </w:tc>
        <w:tc>
          <w:tcPr>
            <w:tcW w:w="3150" w:type="dxa"/>
          </w:tcPr>
          <w:p w:rsidR="00236927" w:rsidRDefault="004706BB" w:rsidP="005A2B22">
            <w:r>
              <w:t xml:space="preserve">Learning is subject centered, focused on prescribed curriculum, and planned sequences according to the logic of the subject matter. </w:t>
            </w:r>
          </w:p>
        </w:tc>
        <w:tc>
          <w:tcPr>
            <w:tcW w:w="3150" w:type="dxa"/>
          </w:tcPr>
          <w:p w:rsidR="00236927" w:rsidRDefault="00042AAC" w:rsidP="005A2B22">
            <w:r>
              <w:t xml:space="preserve">Adult learning is task or problem centered. </w:t>
            </w:r>
          </w:p>
        </w:tc>
        <w:tc>
          <w:tcPr>
            <w:tcW w:w="4950" w:type="dxa"/>
          </w:tcPr>
          <w:p w:rsidR="002D40F0" w:rsidRDefault="00042AAC" w:rsidP="005A2B22">
            <w:r>
              <w:t xml:space="preserve">Learners go beyond problem solving by enabling pro-activity. Learners use their own and others’ experiences and internal processes such as reflection, environmental scanning, experience, interaction with others, and pro-active as well as problem-solving behaviors. </w:t>
            </w:r>
          </w:p>
          <w:p w:rsidR="00560064" w:rsidRDefault="00560064" w:rsidP="005A2B22"/>
        </w:tc>
      </w:tr>
      <w:tr w:rsidR="00DD2473" w:rsidTr="00AF1BFA">
        <w:tc>
          <w:tcPr>
            <w:tcW w:w="1915" w:type="dxa"/>
            <w:vMerge/>
          </w:tcPr>
          <w:p w:rsidR="00236927" w:rsidRDefault="00236927" w:rsidP="005A2B22"/>
        </w:tc>
        <w:tc>
          <w:tcPr>
            <w:tcW w:w="1433" w:type="dxa"/>
            <w:shd w:val="clear" w:color="auto" w:fill="F2F2F2" w:themeFill="background1" w:themeFillShade="F2"/>
          </w:tcPr>
          <w:p w:rsidR="00236927" w:rsidRPr="009B0B0D" w:rsidRDefault="00236927" w:rsidP="005A2B22">
            <w:pPr>
              <w:rPr>
                <w:sz w:val="28"/>
                <w:szCs w:val="28"/>
              </w:rPr>
            </w:pPr>
            <w:r w:rsidRPr="009B0B0D">
              <w:rPr>
                <w:sz w:val="28"/>
                <w:szCs w:val="28"/>
              </w:rPr>
              <w:t xml:space="preserve">Motivation </w:t>
            </w:r>
          </w:p>
        </w:tc>
        <w:tc>
          <w:tcPr>
            <w:tcW w:w="3150" w:type="dxa"/>
          </w:tcPr>
          <w:p w:rsidR="00236927" w:rsidRDefault="004706BB" w:rsidP="005A2B22">
            <w:r>
              <w:t xml:space="preserve">Motivation comes from external sources – usually parents, teachers, and a sense of competition. </w:t>
            </w:r>
          </w:p>
        </w:tc>
        <w:tc>
          <w:tcPr>
            <w:tcW w:w="3150" w:type="dxa"/>
          </w:tcPr>
          <w:p w:rsidR="00236927" w:rsidRDefault="002D40F0" w:rsidP="005A2B22">
            <w:r>
              <w:t xml:space="preserve">Motivation stems from internal sources – the increased self-esteem, confidence, and recognition that comes from successful performance. </w:t>
            </w:r>
          </w:p>
          <w:p w:rsidR="002D40F0" w:rsidRDefault="002D40F0" w:rsidP="005A2B22"/>
        </w:tc>
        <w:tc>
          <w:tcPr>
            <w:tcW w:w="4950" w:type="dxa"/>
          </w:tcPr>
          <w:p w:rsidR="00236927" w:rsidRDefault="002D40F0" w:rsidP="005A2B22">
            <w:r>
              <w:t xml:space="preserve">Self-efficacy, knowing how to learn, creativity, ability to use these qualities in novel as well as familiar situations and working with others. </w:t>
            </w:r>
          </w:p>
        </w:tc>
      </w:tr>
      <w:tr w:rsidR="00DD2473" w:rsidTr="00AF1BFA">
        <w:tc>
          <w:tcPr>
            <w:tcW w:w="1915" w:type="dxa"/>
            <w:vMerge/>
          </w:tcPr>
          <w:p w:rsidR="00236927" w:rsidRDefault="00236927" w:rsidP="005A2B22"/>
        </w:tc>
        <w:tc>
          <w:tcPr>
            <w:tcW w:w="1433" w:type="dxa"/>
            <w:shd w:val="clear" w:color="auto" w:fill="F2F2F2" w:themeFill="background1" w:themeFillShade="F2"/>
          </w:tcPr>
          <w:p w:rsidR="00236927" w:rsidRPr="009B0B0D" w:rsidRDefault="00236927" w:rsidP="005A2B22">
            <w:pPr>
              <w:rPr>
                <w:sz w:val="28"/>
                <w:szCs w:val="28"/>
              </w:rPr>
            </w:pPr>
            <w:r w:rsidRPr="009B0B0D">
              <w:rPr>
                <w:sz w:val="28"/>
                <w:szCs w:val="28"/>
              </w:rPr>
              <w:t>Role of the teacher</w:t>
            </w:r>
          </w:p>
        </w:tc>
        <w:tc>
          <w:tcPr>
            <w:tcW w:w="3150" w:type="dxa"/>
          </w:tcPr>
          <w:p w:rsidR="00236927" w:rsidRDefault="004706BB" w:rsidP="005A2B22">
            <w:r>
              <w:t xml:space="preserve">Designs the learning process, imposes material, is assumed to know best. </w:t>
            </w:r>
          </w:p>
        </w:tc>
        <w:tc>
          <w:tcPr>
            <w:tcW w:w="3150" w:type="dxa"/>
          </w:tcPr>
          <w:p w:rsidR="00236927" w:rsidRDefault="002D40F0" w:rsidP="005A2B22">
            <w:r>
              <w:t xml:space="preserve">Enabler or facilitator, climate of collaboration, respect, and openness. </w:t>
            </w:r>
          </w:p>
          <w:p w:rsidR="002D40F0" w:rsidRDefault="002D40F0" w:rsidP="005A2B22"/>
        </w:tc>
        <w:tc>
          <w:tcPr>
            <w:tcW w:w="4950" w:type="dxa"/>
          </w:tcPr>
          <w:p w:rsidR="00236927" w:rsidRDefault="002D40F0" w:rsidP="005A2B22">
            <w:r>
              <w:t>Develop the learner’s capability</w:t>
            </w:r>
            <w:r w:rsidR="00560064">
              <w:t xml:space="preserve"> to: </w:t>
            </w:r>
          </w:p>
          <w:p w:rsidR="002D40F0" w:rsidRDefault="002D40F0" w:rsidP="002D40F0">
            <w:pPr>
              <w:pStyle w:val="ListParagraph"/>
              <w:numPr>
                <w:ilvl w:val="0"/>
                <w:numId w:val="1"/>
              </w:numPr>
            </w:pPr>
            <w:r>
              <w:t xml:space="preserve">know how to learn </w:t>
            </w:r>
          </w:p>
          <w:p w:rsidR="002D40F0" w:rsidRDefault="00560064" w:rsidP="002D40F0">
            <w:pPr>
              <w:pStyle w:val="ListParagraph"/>
              <w:numPr>
                <w:ilvl w:val="0"/>
                <w:numId w:val="1"/>
              </w:numPr>
            </w:pPr>
            <w:r>
              <w:t>be</w:t>
            </w:r>
            <w:r w:rsidR="002D40F0">
              <w:t xml:space="preserve"> creative </w:t>
            </w:r>
          </w:p>
          <w:p w:rsidR="002D40F0" w:rsidRDefault="002D40F0" w:rsidP="002D40F0">
            <w:pPr>
              <w:pStyle w:val="ListParagraph"/>
              <w:numPr>
                <w:ilvl w:val="0"/>
                <w:numId w:val="1"/>
              </w:numPr>
            </w:pPr>
            <w:r>
              <w:t xml:space="preserve">have a high degree of self-efficacy </w:t>
            </w:r>
          </w:p>
          <w:p w:rsidR="002D40F0" w:rsidRDefault="002D40F0" w:rsidP="002D40F0">
            <w:pPr>
              <w:pStyle w:val="ListParagraph"/>
              <w:numPr>
                <w:ilvl w:val="0"/>
                <w:numId w:val="1"/>
              </w:numPr>
            </w:pPr>
            <w:r>
              <w:t xml:space="preserve">apply competencies in novel as well as familiar situations </w:t>
            </w:r>
          </w:p>
          <w:p w:rsidR="002D40F0" w:rsidRDefault="002D40F0" w:rsidP="002D40F0">
            <w:pPr>
              <w:pStyle w:val="ListParagraph"/>
              <w:numPr>
                <w:ilvl w:val="0"/>
                <w:numId w:val="1"/>
              </w:numPr>
            </w:pPr>
            <w:r>
              <w:t xml:space="preserve">work well with others. </w:t>
            </w:r>
          </w:p>
        </w:tc>
      </w:tr>
    </w:tbl>
    <w:p w:rsidR="002501B7" w:rsidRPr="00005E5B" w:rsidRDefault="002501B7" w:rsidP="005A2B22">
      <w:pPr>
        <w:rPr>
          <w:sz w:val="12"/>
          <w:szCs w:val="12"/>
        </w:rPr>
      </w:pPr>
    </w:p>
    <w:sectPr w:rsidR="002501B7" w:rsidRPr="00005E5B" w:rsidSect="002D40F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F6D63"/>
    <w:multiLevelType w:val="hybridMultilevel"/>
    <w:tmpl w:val="3A6CD400"/>
    <w:lvl w:ilvl="0" w:tplc="E3E2D5B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27"/>
    <w:rsid w:val="00005E5B"/>
    <w:rsid w:val="00042AAC"/>
    <w:rsid w:val="00236927"/>
    <w:rsid w:val="002501B7"/>
    <w:rsid w:val="002B3810"/>
    <w:rsid w:val="002D40F0"/>
    <w:rsid w:val="004706BB"/>
    <w:rsid w:val="0055465C"/>
    <w:rsid w:val="00560064"/>
    <w:rsid w:val="005A2B22"/>
    <w:rsid w:val="009B0B0D"/>
    <w:rsid w:val="00AC126E"/>
    <w:rsid w:val="00AF1BFA"/>
    <w:rsid w:val="00DD2473"/>
    <w:rsid w:val="00F6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26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26E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126E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26E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126E"/>
    <w:rPr>
      <w:rFonts w:ascii="Times New Roman" w:eastAsiaTheme="majorEastAsia" w:hAnsi="Times New Roman" w:cstheme="majorBidi"/>
      <w:b/>
      <w:bCs/>
      <w:szCs w:val="26"/>
    </w:rPr>
  </w:style>
  <w:style w:type="paragraph" w:customStyle="1" w:styleId="References">
    <w:name w:val="References"/>
    <w:basedOn w:val="Normal"/>
    <w:link w:val="ReferencesChar"/>
    <w:qFormat/>
    <w:rsid w:val="00AC126E"/>
    <w:pPr>
      <w:ind w:left="720" w:hanging="720"/>
    </w:pPr>
    <w:rPr>
      <w:rFonts w:cs="Times New Roman"/>
      <w:sz w:val="22"/>
    </w:rPr>
  </w:style>
  <w:style w:type="character" w:customStyle="1" w:styleId="ReferencesChar">
    <w:name w:val="References Char"/>
    <w:basedOn w:val="DefaultParagraphFont"/>
    <w:link w:val="References"/>
    <w:rsid w:val="00AC126E"/>
    <w:rPr>
      <w:rFonts w:ascii="Times New Roman" w:hAnsi="Times New Roman" w:cs="Times New Roman"/>
    </w:rPr>
  </w:style>
  <w:style w:type="paragraph" w:customStyle="1" w:styleId="APATNR12pdouble">
    <w:name w:val="APA TNR 12p double"/>
    <w:basedOn w:val="NoSpacing"/>
    <w:link w:val="APATNR12pdoubleChar"/>
    <w:qFormat/>
    <w:rsid w:val="00AC126E"/>
    <w:pPr>
      <w:spacing w:line="480" w:lineRule="auto"/>
    </w:pPr>
    <w:rPr>
      <w:rFonts w:cs="Times New Roman"/>
      <w:sz w:val="22"/>
    </w:rPr>
  </w:style>
  <w:style w:type="character" w:customStyle="1" w:styleId="APATNR12pdoubleChar">
    <w:name w:val="APA TNR 12p double Char"/>
    <w:basedOn w:val="DefaultParagraphFont"/>
    <w:link w:val="APATNR12pdouble"/>
    <w:rsid w:val="00AC126E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AC126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236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4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24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26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26E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126E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26E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126E"/>
    <w:rPr>
      <w:rFonts w:ascii="Times New Roman" w:eastAsiaTheme="majorEastAsia" w:hAnsi="Times New Roman" w:cstheme="majorBidi"/>
      <w:b/>
      <w:bCs/>
      <w:szCs w:val="26"/>
    </w:rPr>
  </w:style>
  <w:style w:type="paragraph" w:customStyle="1" w:styleId="References">
    <w:name w:val="References"/>
    <w:basedOn w:val="Normal"/>
    <w:link w:val="ReferencesChar"/>
    <w:qFormat/>
    <w:rsid w:val="00AC126E"/>
    <w:pPr>
      <w:ind w:left="720" w:hanging="720"/>
    </w:pPr>
    <w:rPr>
      <w:rFonts w:cs="Times New Roman"/>
      <w:sz w:val="22"/>
    </w:rPr>
  </w:style>
  <w:style w:type="character" w:customStyle="1" w:styleId="ReferencesChar">
    <w:name w:val="References Char"/>
    <w:basedOn w:val="DefaultParagraphFont"/>
    <w:link w:val="References"/>
    <w:rsid w:val="00AC126E"/>
    <w:rPr>
      <w:rFonts w:ascii="Times New Roman" w:hAnsi="Times New Roman" w:cs="Times New Roman"/>
    </w:rPr>
  </w:style>
  <w:style w:type="paragraph" w:customStyle="1" w:styleId="APATNR12pdouble">
    <w:name w:val="APA TNR 12p double"/>
    <w:basedOn w:val="NoSpacing"/>
    <w:link w:val="APATNR12pdoubleChar"/>
    <w:qFormat/>
    <w:rsid w:val="00AC126E"/>
    <w:pPr>
      <w:spacing w:line="480" w:lineRule="auto"/>
    </w:pPr>
    <w:rPr>
      <w:rFonts w:cs="Times New Roman"/>
      <w:sz w:val="22"/>
    </w:rPr>
  </w:style>
  <w:style w:type="character" w:customStyle="1" w:styleId="APATNR12pdoubleChar">
    <w:name w:val="APA TNR 12p double Char"/>
    <w:basedOn w:val="DefaultParagraphFont"/>
    <w:link w:val="APATNR12pdouble"/>
    <w:rsid w:val="00AC126E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AC126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236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4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24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 - Commerce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Thompson</dc:creator>
  <cp:lastModifiedBy>Josh Thompson</cp:lastModifiedBy>
  <cp:revision>11</cp:revision>
  <dcterms:created xsi:type="dcterms:W3CDTF">2019-01-29T17:06:00Z</dcterms:created>
  <dcterms:modified xsi:type="dcterms:W3CDTF">2019-01-29T19:27:00Z</dcterms:modified>
</cp:coreProperties>
</file>