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3" w:type="pct"/>
        <w:tblCellSpacing w:w="22" w:type="dxa"/>
        <w:tblInd w:w="200" w:type="dxa"/>
        <w:tblBorders>
          <w:top w:val="single" w:sz="8" w:space="0" w:color="000000"/>
          <w:left w:val="single" w:sz="8" w:space="0" w:color="000000"/>
          <w:bottom w:val="single" w:sz="8" w:space="0" w:color="000000"/>
          <w:right w:val="single" w:sz="8" w:space="0" w:color="000000"/>
        </w:tblBorders>
        <w:shd w:val="clear" w:color="auto" w:fill="F1F1E4"/>
        <w:tblCellMar>
          <w:left w:w="0" w:type="dxa"/>
          <w:right w:w="0" w:type="dxa"/>
        </w:tblCellMar>
        <w:tblLook w:val="04A0" w:firstRow="1" w:lastRow="0" w:firstColumn="1" w:lastColumn="0" w:noHBand="0" w:noVBand="1"/>
      </w:tblPr>
      <w:tblGrid>
        <w:gridCol w:w="9160"/>
      </w:tblGrid>
      <w:tr w:rsidR="00B126B8" w:rsidTr="00B126B8">
        <w:trPr>
          <w:tblCellSpacing w:w="22" w:type="dxa"/>
        </w:trPr>
        <w:tc>
          <w:tcPr>
            <w:tcW w:w="0" w:type="auto"/>
            <w:tcBorders>
              <w:top w:val="nil"/>
              <w:left w:val="nil"/>
              <w:bottom w:val="nil"/>
              <w:right w:val="nil"/>
            </w:tcBorders>
            <w:shd w:val="clear" w:color="auto" w:fill="auto"/>
            <w:tcMar>
              <w:top w:w="100" w:type="dxa"/>
              <w:left w:w="300" w:type="dxa"/>
              <w:bottom w:w="300" w:type="dxa"/>
              <w:right w:w="300" w:type="dxa"/>
            </w:tcMar>
            <w:vAlign w:val="center"/>
            <w:hideMark/>
          </w:tcPr>
          <w:tbl>
            <w:tblPr>
              <w:tblW w:w="5000" w:type="pct"/>
              <w:tblCellSpacing w:w="0" w:type="dxa"/>
              <w:tblBorders>
                <w:top w:val="outset" w:sz="8" w:space="0" w:color="191970"/>
                <w:left w:val="outset" w:sz="8" w:space="0" w:color="191970"/>
                <w:bottom w:val="outset" w:sz="8" w:space="0" w:color="191970"/>
                <w:right w:val="outset" w:sz="8" w:space="0" w:color="191970"/>
              </w:tblBorders>
              <w:shd w:val="clear" w:color="auto" w:fill="FFFFFF"/>
              <w:tblCellMar>
                <w:left w:w="0" w:type="dxa"/>
                <w:right w:w="0" w:type="dxa"/>
              </w:tblCellMar>
              <w:tblLook w:val="04A0" w:firstRow="1" w:lastRow="0" w:firstColumn="1" w:lastColumn="0" w:noHBand="0" w:noVBand="1"/>
            </w:tblPr>
            <w:tblGrid>
              <w:gridCol w:w="1606"/>
              <w:gridCol w:w="6846"/>
            </w:tblGrid>
            <w:tr w:rsidR="00B126B8">
              <w:trPr>
                <w:tblCellSpacing w:w="0" w:type="dxa"/>
              </w:trPr>
              <w:tc>
                <w:tcPr>
                  <w:tcW w:w="950" w:type="pct"/>
                  <w:tcBorders>
                    <w:top w:val="outset" w:sz="8" w:space="0" w:color="191970"/>
                    <w:left w:val="outset" w:sz="8" w:space="0" w:color="191970"/>
                    <w:bottom w:val="outset" w:sz="8" w:space="0" w:color="191970"/>
                    <w:right w:val="outset" w:sz="8" w:space="0" w:color="191970"/>
                  </w:tcBorders>
                  <w:shd w:val="clear" w:color="auto" w:fill="191970"/>
                  <w:noWrap/>
                  <w:tcMar>
                    <w:top w:w="120" w:type="dxa"/>
                    <w:left w:w="120" w:type="dxa"/>
                    <w:bottom w:w="120" w:type="dxa"/>
                    <w:right w:w="120" w:type="dxa"/>
                  </w:tcMar>
                  <w:vAlign w:val="center"/>
                  <w:hideMark/>
                </w:tcPr>
                <w:p w:rsidR="00B126B8" w:rsidRDefault="00B126B8">
                  <w:pPr>
                    <w:pStyle w:val="NormalWeb"/>
                    <w:spacing w:before="0" w:beforeAutospacing="0" w:after="0" w:afterAutospacing="0"/>
                  </w:pPr>
                  <w:r>
                    <w:rPr>
                      <w:rFonts w:ascii="Arial" w:hAnsi="Arial" w:cs="Arial"/>
                      <w:b/>
                      <w:bCs/>
                      <w:color w:val="FFD700"/>
                      <w:sz w:val="27"/>
                      <w:szCs w:val="27"/>
                    </w:rPr>
                    <w:t>ECE 313</w:t>
                  </w:r>
                </w:p>
              </w:tc>
              <w:tc>
                <w:tcPr>
                  <w:tcW w:w="4050" w:type="pct"/>
                  <w:tcBorders>
                    <w:top w:val="outset" w:sz="8" w:space="0" w:color="191970"/>
                    <w:left w:val="outset" w:sz="8" w:space="0" w:color="191970"/>
                    <w:bottom w:val="outset" w:sz="8" w:space="0" w:color="191970"/>
                    <w:right w:val="outset" w:sz="8" w:space="0" w:color="191970"/>
                  </w:tcBorders>
                  <w:shd w:val="clear" w:color="auto" w:fill="FFFFFF"/>
                  <w:noWrap/>
                  <w:tcMar>
                    <w:top w:w="120" w:type="dxa"/>
                    <w:left w:w="120" w:type="dxa"/>
                    <w:bottom w:w="120" w:type="dxa"/>
                    <w:right w:w="120" w:type="dxa"/>
                  </w:tcMar>
                  <w:vAlign w:val="center"/>
                  <w:hideMark/>
                </w:tcPr>
                <w:p w:rsidR="00B126B8" w:rsidRPr="006622E6" w:rsidRDefault="00B126B8">
                  <w:pPr>
                    <w:pStyle w:val="NormalWeb"/>
                    <w:spacing w:before="0" w:beforeAutospacing="0" w:after="0" w:afterAutospacing="0"/>
                    <w:rPr>
                      <w:sz w:val="27"/>
                      <w:szCs w:val="27"/>
                    </w:rPr>
                  </w:pPr>
                  <w:r w:rsidRPr="006622E6">
                    <w:rPr>
                      <w:rFonts w:ascii="Arial" w:hAnsi="Arial" w:cs="Arial"/>
                      <w:color w:val="191970"/>
                      <w:sz w:val="27"/>
                      <w:szCs w:val="27"/>
                    </w:rPr>
                    <w:t>Observing Children and their Development</w:t>
                  </w:r>
                </w:p>
              </w:tc>
            </w:tr>
          </w:tbl>
          <w:p w:rsidR="002E44C5" w:rsidRDefault="002E44C5">
            <w:pPr>
              <w:pStyle w:val="NormalWeb"/>
              <w:spacing w:before="0" w:beforeAutospacing="0" w:after="0" w:afterAutospacing="0"/>
              <w:rPr>
                <w:rFonts w:ascii="Verdana" w:hAnsi="Verdana"/>
                <w:color w:val="000000"/>
              </w:rPr>
            </w:pPr>
          </w:p>
          <w:p w:rsidR="00B126B8" w:rsidRDefault="00B126B8">
            <w:pPr>
              <w:pStyle w:val="NormalWeb"/>
              <w:spacing w:before="0" w:beforeAutospacing="0" w:after="0" w:afterAutospacing="0"/>
              <w:rPr>
                <w:rFonts w:ascii="Verdana" w:hAnsi="Verdana"/>
              </w:rPr>
            </w:pPr>
            <w:r>
              <w:rPr>
                <w:rFonts w:ascii="Verdana" w:hAnsi="Verdana"/>
                <w:color w:val="000000"/>
              </w:rPr>
              <w:t xml:space="preserve">Don't you marvel at kids? They are amazing! What is going on in their head, why did they say that, how do they problem solve with those little hands (and sharp minds!)? </w:t>
            </w:r>
            <w:r>
              <w:rPr>
                <w:rFonts w:ascii="Verdana" w:hAnsi="Verdana"/>
                <w:color w:val="000000"/>
              </w:rPr>
              <w:br/>
            </w:r>
            <w:r>
              <w:rPr>
                <w:rFonts w:ascii="Verdana" w:hAnsi="Verdana"/>
                <w:color w:val="000000"/>
              </w:rPr>
              <w:br/>
              <w:t>Learning to look at children, and learning how to see what they are showing us requires us to slow down, create space, and listen closely. Take the stance of an observer of th</w:t>
            </w:r>
            <w:r>
              <w:rPr>
                <w:rFonts w:ascii="Verdana" w:hAnsi="Verdana"/>
                <w:color w:val="000000"/>
              </w:rPr>
              <w:t xml:space="preserve">e phenomenon of childhood. </w:t>
            </w:r>
            <w:r>
              <w:rPr>
                <w:rFonts w:ascii="Verdana" w:hAnsi="Verdana"/>
                <w:color w:val="000000"/>
              </w:rPr>
              <w:br/>
            </w:r>
            <w:r>
              <w:rPr>
                <w:rFonts w:ascii="Verdana" w:hAnsi="Verdana"/>
                <w:color w:val="000000"/>
              </w:rPr>
              <w:br/>
              <w:t>V</w:t>
            </w:r>
            <w:r>
              <w:rPr>
                <w:rFonts w:ascii="Verdana" w:hAnsi="Verdana"/>
                <w:color w:val="000000"/>
              </w:rPr>
              <w:t xml:space="preserve">iew the PowerPoint presentation </w:t>
            </w:r>
            <w:hyperlink r:id="rId5" w:tgtFrame="_self" w:history="1">
              <w:r>
                <w:rPr>
                  <w:rStyle w:val="Hyperlink"/>
                  <w:rFonts w:ascii="Verdana" w:hAnsi="Verdana"/>
                </w:rPr>
                <w:t>MakingAList.ppt</w:t>
              </w:r>
            </w:hyperlink>
            <w:r>
              <w:rPr>
                <w:rFonts w:ascii="Verdana" w:hAnsi="Verdana"/>
                <w:color w:val="000000"/>
              </w:rPr>
              <w:t xml:space="preserve"> from this collection </w:t>
            </w:r>
            <w:r>
              <w:rPr>
                <w:rFonts w:ascii="Verdana" w:hAnsi="Verdana"/>
              </w:rPr>
              <w:t xml:space="preserve">of Observation Resources </w:t>
            </w:r>
            <w:hyperlink r:id="rId6" w:history="1">
              <w:r>
                <w:rPr>
                  <w:rStyle w:val="Hyperlink"/>
                  <w:rFonts w:ascii="Verdana" w:hAnsi="Verdana"/>
                  <w:color w:val="0000B3"/>
                </w:rPr>
                <w:t>http://faculty.tamuc.edu/jthompson/observation/</w:t>
              </w:r>
            </w:hyperlink>
            <w:r>
              <w:rPr>
                <w:rFonts w:ascii="Verdana" w:hAnsi="Verdana"/>
              </w:rPr>
              <w:t xml:space="preserve"> </w:t>
            </w:r>
          </w:p>
          <w:p w:rsidR="00B126B8" w:rsidRDefault="00B126B8">
            <w:pPr>
              <w:pStyle w:val="NormalWeb"/>
              <w:spacing w:before="0" w:beforeAutospacing="0" w:after="0" w:afterAutospacing="0"/>
            </w:pPr>
          </w:p>
          <w:tbl>
            <w:tblPr>
              <w:tblW w:w="5000" w:type="pct"/>
              <w:tblCellSpacing w:w="0" w:type="dxa"/>
              <w:tblBorders>
                <w:top w:val="outset" w:sz="12" w:space="0" w:color="191970"/>
                <w:left w:val="outset" w:sz="12" w:space="0" w:color="191970"/>
                <w:bottom w:val="outset" w:sz="12" w:space="0" w:color="191970"/>
                <w:right w:val="outset" w:sz="12" w:space="0" w:color="191970"/>
              </w:tblBorders>
              <w:shd w:val="clear" w:color="auto" w:fill="FFFFFF"/>
              <w:tblCellMar>
                <w:left w:w="0" w:type="dxa"/>
                <w:right w:w="0" w:type="dxa"/>
              </w:tblCellMar>
              <w:tblLook w:val="04A0" w:firstRow="1" w:lastRow="0" w:firstColumn="1" w:lastColumn="0" w:noHBand="0" w:noVBand="1"/>
            </w:tblPr>
            <w:tblGrid>
              <w:gridCol w:w="7522"/>
              <w:gridCol w:w="930"/>
            </w:tblGrid>
            <w:tr w:rsidR="00B126B8">
              <w:trPr>
                <w:tblCellSpacing w:w="0" w:type="dxa"/>
              </w:trPr>
              <w:tc>
                <w:tcPr>
                  <w:tcW w:w="4450" w:type="pct"/>
                  <w:tcBorders>
                    <w:top w:val="outset" w:sz="8" w:space="0" w:color="191970"/>
                    <w:left w:val="outset" w:sz="8" w:space="0" w:color="191970"/>
                    <w:bottom w:val="outset" w:sz="8" w:space="0" w:color="191970"/>
                    <w:right w:val="outset" w:sz="8" w:space="0" w:color="191970"/>
                  </w:tcBorders>
                  <w:shd w:val="clear" w:color="auto" w:fill="191970"/>
                  <w:noWrap/>
                  <w:tcMar>
                    <w:top w:w="30" w:type="dxa"/>
                    <w:left w:w="30" w:type="dxa"/>
                    <w:bottom w:w="30" w:type="dxa"/>
                    <w:right w:w="30" w:type="dxa"/>
                  </w:tcMar>
                  <w:vAlign w:val="center"/>
                  <w:hideMark/>
                </w:tcPr>
                <w:p w:rsidR="00B126B8" w:rsidRDefault="00B126B8">
                  <w:pPr>
                    <w:pStyle w:val="NormalWeb"/>
                    <w:spacing w:before="0" w:beforeAutospacing="0" w:after="0" w:afterAutospacing="0"/>
                  </w:pPr>
                  <w:r>
                    <w:rPr>
                      <w:rFonts w:ascii="Verdana" w:hAnsi="Verdana"/>
                      <w:b/>
                      <w:bCs/>
                      <w:i/>
                      <w:iCs/>
                      <w:color w:val="FFFFFF"/>
                    </w:rPr>
                    <w:t xml:space="preserve">GUIDELINES FOR EFFECTIVE OBSERVATIONS </w:t>
                  </w:r>
                </w:p>
              </w:tc>
              <w:tc>
                <w:tcPr>
                  <w:tcW w:w="550" w:type="pct"/>
                  <w:tcBorders>
                    <w:top w:val="outset" w:sz="8" w:space="0" w:color="191970"/>
                    <w:left w:val="outset" w:sz="8" w:space="0" w:color="191970"/>
                    <w:bottom w:val="outset" w:sz="8" w:space="0" w:color="191970"/>
                    <w:right w:val="outset" w:sz="8" w:space="0" w:color="191970"/>
                  </w:tcBorders>
                  <w:shd w:val="clear" w:color="auto" w:fill="FFFFFF"/>
                  <w:tcMar>
                    <w:top w:w="30" w:type="dxa"/>
                    <w:left w:w="30" w:type="dxa"/>
                    <w:bottom w:w="30" w:type="dxa"/>
                    <w:right w:w="30" w:type="dxa"/>
                  </w:tcMar>
                  <w:vAlign w:val="center"/>
                  <w:hideMark/>
                </w:tcPr>
                <w:p w:rsidR="00B126B8" w:rsidRDefault="00B126B8"/>
              </w:tc>
            </w:tr>
          </w:tbl>
          <w:p w:rsidR="00B126B8" w:rsidRDefault="00B126B8" w:rsidP="00B126B8">
            <w:pPr>
              <w:pStyle w:val="NormalWeb"/>
              <w:spacing w:before="0" w:beforeAutospacing="0" w:after="0" w:afterAutospacing="0"/>
            </w:pPr>
            <w:r>
              <w:rPr>
                <w:rFonts w:ascii="Verdana" w:hAnsi="Verdana"/>
                <w:color w:val="000000"/>
              </w:rPr>
              <w:t>Many child development textbooks have adequate explanations of what constitutes a meaningful child study. Read the Trawick-Smith chapter on Research and Assessment (in 2018, 7</w:t>
            </w:r>
            <w:r>
              <w:rPr>
                <w:rFonts w:ascii="Verdana" w:hAnsi="Verdana"/>
                <w:color w:val="000000"/>
                <w:vertAlign w:val="superscript"/>
              </w:rPr>
              <w:t>th</w:t>
            </w:r>
            <w:r>
              <w:rPr>
                <w:rFonts w:ascii="Verdana" w:hAnsi="Verdana"/>
                <w:color w:val="000000"/>
              </w:rPr>
              <w:t xml:space="preserve"> ed., this is chapter 2). </w:t>
            </w:r>
            <w:r>
              <w:rPr>
                <w:rFonts w:ascii="Verdana" w:hAnsi="Verdana"/>
                <w:color w:val="000000"/>
              </w:rPr>
              <w:t>In the MakingAList.ppt, n</w:t>
            </w:r>
            <w:r>
              <w:rPr>
                <w:rFonts w:ascii="Verdana" w:hAnsi="Verdana"/>
                <w:color w:val="000000"/>
              </w:rPr>
              <w:t xml:space="preserve">ote the 3 purposes for observation: </w:t>
            </w:r>
            <w:r>
              <w:rPr>
                <w:rFonts w:ascii="Verdana" w:hAnsi="Verdana"/>
                <w:color w:val="000000"/>
              </w:rPr>
              <w:t xml:space="preserve">1) </w:t>
            </w:r>
            <w:r>
              <w:rPr>
                <w:rFonts w:ascii="Verdana" w:hAnsi="Verdana"/>
                <w:color w:val="000000"/>
              </w:rPr>
              <w:t xml:space="preserve">to know an individual child, </w:t>
            </w:r>
            <w:r>
              <w:rPr>
                <w:rFonts w:ascii="Verdana" w:hAnsi="Verdana"/>
                <w:color w:val="000000"/>
              </w:rPr>
              <w:t xml:space="preserve">2) </w:t>
            </w:r>
            <w:r>
              <w:rPr>
                <w:rFonts w:ascii="Verdana" w:hAnsi="Verdana"/>
                <w:color w:val="000000"/>
              </w:rPr>
              <w:t>to mark progress</w:t>
            </w:r>
            <w:r>
              <w:rPr>
                <w:rFonts w:ascii="Verdana" w:hAnsi="Verdana"/>
                <w:color w:val="000000"/>
              </w:rPr>
              <w:t xml:space="preserve"> over time</w:t>
            </w:r>
            <w:r>
              <w:rPr>
                <w:rFonts w:ascii="Verdana" w:hAnsi="Verdana"/>
                <w:color w:val="000000"/>
              </w:rPr>
              <w:t xml:space="preserve">, and </w:t>
            </w:r>
            <w:r>
              <w:rPr>
                <w:rFonts w:ascii="Verdana" w:hAnsi="Verdana"/>
                <w:color w:val="000000"/>
              </w:rPr>
              <w:t xml:space="preserve">3) </w:t>
            </w:r>
            <w:r>
              <w:rPr>
                <w:rFonts w:ascii="Verdana" w:hAnsi="Verdana"/>
                <w:color w:val="000000"/>
              </w:rPr>
              <w:t xml:space="preserve">to evaluate a program. </w:t>
            </w:r>
            <w:r>
              <w:rPr>
                <w:rFonts w:ascii="Verdana" w:hAnsi="Verdana"/>
                <w:b/>
                <w:bCs/>
                <w:color w:val="000000"/>
              </w:rPr>
              <w:t xml:space="preserve">THE PURPOSE OF THIS ASSIGNMENT IS </w:t>
            </w:r>
            <w:r>
              <w:rPr>
                <w:rFonts w:ascii="Verdana" w:hAnsi="Verdana"/>
                <w:b/>
                <w:bCs/>
                <w:color w:val="000000"/>
              </w:rPr>
              <w:t xml:space="preserve">1) </w:t>
            </w:r>
            <w:r>
              <w:rPr>
                <w:rFonts w:ascii="Verdana" w:hAnsi="Verdana"/>
                <w:b/>
                <w:bCs/>
                <w:color w:val="000000"/>
              </w:rPr>
              <w:t>TO KNOW ABOUT INDIVIDUAL CHILDREN, ACROSS THREE STAGES OF DEVELOPMENT</w:t>
            </w:r>
            <w:r>
              <w:rPr>
                <w:rFonts w:ascii="Verdana" w:hAnsi="Verdana"/>
                <w:color w:val="000000"/>
              </w:rPr>
              <w:t xml:space="preserve">. </w:t>
            </w:r>
            <w:r>
              <w:rPr>
                <w:rFonts w:ascii="Verdana" w:hAnsi="Verdana"/>
                <w:color w:val="000000"/>
              </w:rPr>
              <w:br/>
            </w:r>
            <w:r>
              <w:rPr>
                <w:rFonts w:ascii="Verdana" w:hAnsi="Verdana"/>
                <w:color w:val="000000"/>
              </w:rPr>
              <w:br/>
              <w:t xml:space="preserve">How many ways are there to "kid-watch"? Which of these will you use for your field observation? Evaluate the advantages of intentional, systematic observation. How will you implement the observations in your field work? </w:t>
            </w:r>
          </w:p>
          <w:p w:rsidR="00B126B8" w:rsidRDefault="00B126B8">
            <w:pPr>
              <w:pStyle w:val="NormalWeb"/>
              <w:spacing w:before="0" w:beforeAutospacing="0" w:after="0" w:afterAutospacing="0"/>
              <w:rPr>
                <w:rFonts w:ascii="Verdana" w:hAnsi="Verdana"/>
                <w:color w:val="000000"/>
              </w:rPr>
            </w:pPr>
          </w:p>
          <w:p w:rsidR="00B126B8" w:rsidRDefault="00B126B8">
            <w:pPr>
              <w:pStyle w:val="NormalWeb"/>
              <w:spacing w:before="0" w:beforeAutospacing="0" w:after="0" w:afterAutospacing="0"/>
            </w:pPr>
            <w:r>
              <w:rPr>
                <w:rFonts w:ascii="Verdana" w:hAnsi="Verdana"/>
                <w:color w:val="000000"/>
              </w:rPr>
              <w:t xml:space="preserve">These notes are taken from Puckett &amp; Black (2005) </w:t>
            </w:r>
            <w:r>
              <w:rPr>
                <w:rFonts w:ascii="Verdana" w:hAnsi="Verdana"/>
                <w:i/>
                <w:iCs/>
                <w:color w:val="000000"/>
              </w:rPr>
              <w:t xml:space="preserve">The Young Child: Development from </w:t>
            </w:r>
            <w:proofErr w:type="spellStart"/>
            <w:r>
              <w:rPr>
                <w:rFonts w:ascii="Verdana" w:hAnsi="Verdana"/>
                <w:i/>
                <w:iCs/>
                <w:color w:val="000000"/>
              </w:rPr>
              <w:t>prebirth</w:t>
            </w:r>
            <w:proofErr w:type="spellEnd"/>
            <w:r>
              <w:rPr>
                <w:rFonts w:ascii="Verdana" w:hAnsi="Verdana"/>
                <w:i/>
                <w:iCs/>
                <w:color w:val="000000"/>
              </w:rPr>
              <w:t xml:space="preserve"> through age eight. (</w:t>
            </w:r>
            <w:proofErr w:type="gramStart"/>
            <w:r>
              <w:rPr>
                <w:rFonts w:ascii="Verdana" w:hAnsi="Verdana"/>
                <w:i/>
                <w:iCs/>
                <w:color w:val="000000"/>
              </w:rPr>
              <w:t>fourth</w:t>
            </w:r>
            <w:proofErr w:type="gramEnd"/>
            <w:r>
              <w:rPr>
                <w:rFonts w:ascii="Verdana" w:hAnsi="Verdana"/>
                <w:i/>
                <w:iCs/>
                <w:color w:val="000000"/>
              </w:rPr>
              <w:t xml:space="preserve"> edition)</w:t>
            </w:r>
            <w:r>
              <w:rPr>
                <w:rFonts w:ascii="Verdana" w:hAnsi="Verdana"/>
                <w:color w:val="000000"/>
              </w:rPr>
              <w:t xml:space="preserve">. Pearson. Pp. 32-33, 38-39, 46-48. </w:t>
            </w:r>
          </w:p>
          <w:p w:rsidR="00B126B8" w:rsidRDefault="00B126B8">
            <w:pPr>
              <w:pStyle w:val="NormalWeb"/>
              <w:spacing w:before="0" w:beforeAutospacing="0" w:after="0" w:afterAutospacing="0"/>
            </w:pPr>
            <w:r>
              <w:rPr>
                <w:rFonts w:ascii="Verdana" w:hAnsi="Verdana"/>
                <w:color w:val="000000"/>
              </w:rPr>
              <w:t> </w:t>
            </w:r>
          </w:p>
          <w:p w:rsidR="00B126B8" w:rsidRDefault="00B126B8">
            <w:pPr>
              <w:pStyle w:val="NormalWeb"/>
              <w:spacing w:before="0" w:beforeAutospacing="0" w:after="0" w:afterAutospacing="0"/>
            </w:pPr>
            <w:r>
              <w:rPr>
                <w:rFonts w:ascii="Verdana" w:hAnsi="Verdana"/>
                <w:color w:val="000000"/>
              </w:rPr>
              <w:t xml:space="preserve">Four behaviors are important to the teacher/observer: </w:t>
            </w:r>
          </w:p>
          <w:p w:rsidR="00B126B8" w:rsidRDefault="00B126B8" w:rsidP="00B126B8">
            <w:pPr>
              <w:numPr>
                <w:ilvl w:val="0"/>
                <w:numId w:val="1"/>
              </w:numPr>
              <w:rPr>
                <w:color w:val="000000"/>
              </w:rPr>
            </w:pPr>
            <w:r>
              <w:rPr>
                <w:rFonts w:ascii="Verdana" w:hAnsi="Verdana"/>
                <w:color w:val="000000"/>
              </w:rPr>
              <w:t xml:space="preserve">Perspective-taking: the ability to understand one’s own or another’s viewpoint. </w:t>
            </w:r>
          </w:p>
          <w:p w:rsidR="00B126B8" w:rsidRDefault="00B126B8" w:rsidP="00B126B8">
            <w:pPr>
              <w:numPr>
                <w:ilvl w:val="0"/>
                <w:numId w:val="1"/>
              </w:numPr>
              <w:rPr>
                <w:color w:val="000000"/>
              </w:rPr>
            </w:pPr>
            <w:r>
              <w:rPr>
                <w:rFonts w:ascii="Verdana" w:hAnsi="Verdana"/>
                <w:color w:val="000000"/>
              </w:rPr>
              <w:t xml:space="preserve">Reflecting-in-action: an ongoing process in which educators think about and critically analyze their own and their student’s performance </w:t>
            </w:r>
          </w:p>
          <w:p w:rsidR="00B126B8" w:rsidRDefault="00B126B8" w:rsidP="00B126B8">
            <w:pPr>
              <w:numPr>
                <w:ilvl w:val="0"/>
                <w:numId w:val="1"/>
              </w:numPr>
              <w:rPr>
                <w:color w:val="000000"/>
              </w:rPr>
            </w:pPr>
            <w:r>
              <w:rPr>
                <w:rFonts w:ascii="Verdana" w:hAnsi="Verdana"/>
                <w:color w:val="000000"/>
              </w:rPr>
              <w:lastRenderedPageBreak/>
              <w:t xml:space="preserve">Teacher-as-learner: process by which educators continue to learn </w:t>
            </w:r>
          </w:p>
          <w:p w:rsidR="00B126B8" w:rsidRDefault="00B126B8" w:rsidP="00B126B8">
            <w:pPr>
              <w:numPr>
                <w:ilvl w:val="0"/>
                <w:numId w:val="1"/>
              </w:numPr>
              <w:rPr>
                <w:color w:val="000000"/>
              </w:rPr>
            </w:pPr>
            <w:r>
              <w:rPr>
                <w:rFonts w:ascii="Verdana" w:hAnsi="Verdana"/>
                <w:color w:val="000000"/>
              </w:rPr>
              <w:t xml:space="preserve">Teacher-as-researcher: process by which EC professionals elaborate on their observations </w:t>
            </w:r>
          </w:p>
          <w:p w:rsidR="00B126B8" w:rsidRDefault="00B126B8">
            <w:pPr>
              <w:pStyle w:val="NormalWeb"/>
              <w:spacing w:before="0" w:beforeAutospacing="0" w:after="0" w:afterAutospacing="0"/>
            </w:pPr>
            <w:r>
              <w:rPr>
                <w:rFonts w:ascii="Verdana" w:hAnsi="Verdana"/>
                <w:color w:val="000000"/>
              </w:rPr>
              <w:t> </w:t>
            </w:r>
          </w:p>
          <w:p w:rsidR="00B126B8" w:rsidRDefault="00B126B8">
            <w:pPr>
              <w:pStyle w:val="NormalWeb"/>
              <w:spacing w:before="0" w:beforeAutospacing="0" w:after="0" w:afterAutospacing="0"/>
            </w:pPr>
            <w:r>
              <w:rPr>
                <w:rFonts w:ascii="Verdana" w:hAnsi="Verdana"/>
                <w:color w:val="000000"/>
              </w:rPr>
              <w:t xml:space="preserve">Informal Approaches to Assessment </w:t>
            </w:r>
          </w:p>
          <w:p w:rsidR="00B126B8" w:rsidRDefault="00B126B8">
            <w:pPr>
              <w:numPr>
                <w:ilvl w:val="0"/>
                <w:numId w:val="2"/>
              </w:numPr>
              <w:rPr>
                <w:color w:val="000000"/>
              </w:rPr>
            </w:pPr>
            <w:r>
              <w:rPr>
                <w:rFonts w:ascii="Verdana" w:hAnsi="Verdana"/>
                <w:color w:val="000000"/>
              </w:rPr>
              <w:t xml:space="preserve">Performance – what children do and how they demonstrate their capabilities </w:t>
            </w:r>
          </w:p>
          <w:p w:rsidR="00B126B8" w:rsidRDefault="00B126B8">
            <w:pPr>
              <w:numPr>
                <w:ilvl w:val="0"/>
                <w:numId w:val="2"/>
              </w:numPr>
              <w:rPr>
                <w:color w:val="000000"/>
              </w:rPr>
            </w:pPr>
            <w:r>
              <w:rPr>
                <w:rFonts w:ascii="Verdana" w:hAnsi="Verdana"/>
                <w:color w:val="000000"/>
              </w:rPr>
              <w:t xml:space="preserve">Processes – what strategies children use to pursue information, acquire skills, or solve problems </w:t>
            </w:r>
          </w:p>
          <w:p w:rsidR="00B126B8" w:rsidRDefault="00B126B8">
            <w:pPr>
              <w:numPr>
                <w:ilvl w:val="0"/>
                <w:numId w:val="2"/>
              </w:numPr>
              <w:rPr>
                <w:color w:val="000000"/>
              </w:rPr>
            </w:pPr>
            <w:r>
              <w:rPr>
                <w:rFonts w:ascii="Verdana" w:hAnsi="Verdana"/>
                <w:color w:val="000000"/>
              </w:rPr>
              <w:t>Products – the types of constructions that children create and produce</w:t>
            </w:r>
            <w:r>
              <w:rPr>
                <w:rFonts w:ascii="Verdana" w:hAnsi="Verdana"/>
                <w:color w:val="000000"/>
                <w:sz w:val="22"/>
                <w:szCs w:val="22"/>
              </w:rPr>
              <w:t xml:space="preserve"> </w:t>
            </w:r>
          </w:p>
          <w:p w:rsidR="00B126B8" w:rsidRDefault="00B126B8">
            <w:pPr>
              <w:pStyle w:val="NormalWeb"/>
              <w:spacing w:before="0" w:beforeAutospacing="0" w:after="0" w:afterAutospacing="0"/>
              <w:ind w:left="720"/>
            </w:pPr>
            <w:r>
              <w:rPr>
                <w:rFonts w:ascii="Verdana" w:hAnsi="Verdana"/>
                <w:color w:val="000000"/>
                <w:sz w:val="22"/>
                <w:szCs w:val="22"/>
              </w:rPr>
              <w:t> </w:t>
            </w:r>
          </w:p>
          <w:tbl>
            <w:tblPr>
              <w:tblW w:w="5000" w:type="pct"/>
              <w:tblCellSpacing w:w="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firstRow="1" w:lastRow="0" w:firstColumn="1" w:lastColumn="0" w:noHBand="0" w:noVBand="1"/>
            </w:tblPr>
            <w:tblGrid>
              <w:gridCol w:w="7540"/>
              <w:gridCol w:w="932"/>
            </w:tblGrid>
            <w:tr w:rsidR="00B126B8">
              <w:trPr>
                <w:tblCellSpacing w:w="0" w:type="dxa"/>
              </w:trPr>
              <w:tc>
                <w:tcPr>
                  <w:tcW w:w="4450" w:type="pct"/>
                  <w:tcBorders>
                    <w:top w:val="nil"/>
                    <w:left w:val="nil"/>
                    <w:bottom w:val="nil"/>
                    <w:right w:val="nil"/>
                  </w:tcBorders>
                  <w:shd w:val="clear" w:color="auto" w:fill="191970"/>
                  <w:noWrap/>
                  <w:tcMar>
                    <w:top w:w="30" w:type="dxa"/>
                    <w:left w:w="30" w:type="dxa"/>
                    <w:bottom w:w="30" w:type="dxa"/>
                    <w:right w:w="30" w:type="dxa"/>
                  </w:tcMar>
                  <w:vAlign w:val="center"/>
                  <w:hideMark/>
                </w:tcPr>
                <w:p w:rsidR="00B126B8" w:rsidRDefault="00B126B8">
                  <w:pPr>
                    <w:pStyle w:val="NormalWeb"/>
                    <w:spacing w:before="0" w:beforeAutospacing="0" w:after="0" w:afterAutospacing="0"/>
                  </w:pPr>
                  <w:r>
                    <w:rPr>
                      <w:rFonts w:ascii="Verdana" w:hAnsi="Verdana"/>
                      <w:b/>
                      <w:bCs/>
                      <w:color w:val="CCCCCC"/>
                    </w:rPr>
                    <w:t>Practical Matters - Your Field Observations</w:t>
                  </w:r>
                  <w:r>
                    <w:rPr>
                      <w:rFonts w:ascii="Verdana" w:hAnsi="Verdana"/>
                      <w:color w:val="000000"/>
                      <w:sz w:val="22"/>
                      <w:szCs w:val="22"/>
                    </w:rPr>
                    <w:t xml:space="preserve"> </w:t>
                  </w:r>
                </w:p>
              </w:tc>
              <w:tc>
                <w:tcPr>
                  <w:tcW w:w="550" w:type="pct"/>
                  <w:tcBorders>
                    <w:top w:val="nil"/>
                    <w:left w:val="nil"/>
                    <w:bottom w:val="nil"/>
                    <w:right w:val="nil"/>
                  </w:tcBorders>
                  <w:shd w:val="clear" w:color="auto" w:fill="auto"/>
                  <w:tcMar>
                    <w:top w:w="30" w:type="dxa"/>
                    <w:left w:w="30" w:type="dxa"/>
                    <w:bottom w:w="30" w:type="dxa"/>
                    <w:right w:w="30" w:type="dxa"/>
                  </w:tcMar>
                  <w:vAlign w:val="center"/>
                  <w:hideMark/>
                </w:tcPr>
                <w:p w:rsidR="00B126B8" w:rsidRDefault="00B126B8"/>
              </w:tc>
            </w:tr>
          </w:tbl>
          <w:p w:rsidR="00B126B8" w:rsidRDefault="00B126B8">
            <w:pPr>
              <w:pStyle w:val="NormalWeb"/>
              <w:spacing w:before="0" w:beforeAutospacing="0" w:after="200" w:afterAutospacing="0"/>
            </w:pPr>
            <w:r>
              <w:rPr>
                <w:rFonts w:ascii="Verdana" w:hAnsi="Verdana"/>
                <w:b/>
                <w:bCs/>
                <w:color w:val="000000"/>
              </w:rPr>
              <w:t xml:space="preserve">YOUR OBSERVATION ASSIGNMENT: </w:t>
            </w:r>
            <w:r>
              <w:rPr>
                <w:rFonts w:ascii="Verdana" w:hAnsi="Verdana"/>
                <w:color w:val="000000"/>
              </w:rPr>
              <w:t>Observe three children in three different stages of development. The first child will be an infant or toddler, from birth to age three. The second, in Pre-K or Kindergarten, three to six</w:t>
            </w:r>
            <w:r w:rsidR="0059131A">
              <w:rPr>
                <w:rFonts w:ascii="Verdana" w:hAnsi="Verdana"/>
                <w:color w:val="000000"/>
              </w:rPr>
              <w:t xml:space="preserve"> years old</w:t>
            </w:r>
            <w:r>
              <w:rPr>
                <w:rFonts w:ascii="Verdana" w:hAnsi="Verdana"/>
                <w:color w:val="000000"/>
              </w:rPr>
              <w:t xml:space="preserve">. Finally, a child in elementary stage of development, six to nine. Perhaps you will find a child in your community, or a Childcare Center, perhaps the Children's Learning Center on campus in Commerce, or, most likely, a licensed facility in your neighborhood. The minimum time spent on each observation is one hour, preferably in the morning. </w:t>
            </w:r>
          </w:p>
          <w:p w:rsidR="00B126B8" w:rsidRDefault="00B126B8">
            <w:pPr>
              <w:pStyle w:val="NormalWeb"/>
              <w:spacing w:before="0" w:beforeAutospacing="0" w:after="200" w:afterAutospacing="0"/>
            </w:pPr>
            <w:r>
              <w:rPr>
                <w:rFonts w:ascii="Verdana" w:hAnsi="Verdana"/>
                <w:color w:val="000000"/>
              </w:rPr>
              <w:t xml:space="preserve">Explanation: Create a NARRATIVE OBSERVATION – a written description of your observation of the child in her natural setting. Use ANECTODATAL RECORDS, the qualitative observation method most often used by teachers. Also use a RUNNING RECORD, a type of narrative observation that records all behaviors in sequential order as they occur. Use a spiral, or notebook to write and contain your field notes. Include the following: </w:t>
            </w:r>
          </w:p>
          <w:p w:rsidR="00B126B8" w:rsidRDefault="00B126B8">
            <w:pPr>
              <w:numPr>
                <w:ilvl w:val="0"/>
                <w:numId w:val="3"/>
              </w:numPr>
              <w:spacing w:after="200"/>
              <w:rPr>
                <w:color w:val="000000"/>
              </w:rPr>
            </w:pPr>
            <w:r>
              <w:rPr>
                <w:rFonts w:ascii="Verdana" w:hAnsi="Verdana"/>
                <w:color w:val="000000"/>
              </w:rPr>
              <w:t xml:space="preserve">On the cover, write the name of the school or family, type of program, a contact person and phone number, date and time of your visit, and ask the contact for her/his signature to confirm your presence in that school on that day. I will randomly select some of these field notes to examine, and I will call the contacts for confirmation of your visit. </w:t>
            </w:r>
          </w:p>
          <w:p w:rsidR="00B126B8" w:rsidRDefault="00B126B8">
            <w:pPr>
              <w:numPr>
                <w:ilvl w:val="0"/>
                <w:numId w:val="3"/>
              </w:numPr>
              <w:rPr>
                <w:color w:val="000000"/>
              </w:rPr>
            </w:pPr>
            <w:r>
              <w:rPr>
                <w:rFonts w:ascii="Verdana" w:hAnsi="Verdana"/>
                <w:color w:val="000000"/>
              </w:rPr>
              <w:t xml:space="preserve">Describe the setting, including the time the observation began and the activity that is taking place. Who else is in the room (on the playground, wherever)? </w:t>
            </w:r>
          </w:p>
          <w:p w:rsidR="00B126B8" w:rsidRDefault="00B126B8">
            <w:pPr>
              <w:pStyle w:val="NormalWeb"/>
              <w:spacing w:before="0" w:beforeAutospacing="0" w:after="0" w:afterAutospacing="0"/>
              <w:ind w:left="720"/>
            </w:pPr>
          </w:p>
          <w:p w:rsidR="00B126B8" w:rsidRDefault="00B126B8">
            <w:pPr>
              <w:numPr>
                <w:ilvl w:val="0"/>
                <w:numId w:val="4"/>
              </w:numPr>
              <w:rPr>
                <w:color w:val="000000"/>
              </w:rPr>
            </w:pPr>
            <w:r>
              <w:rPr>
                <w:rFonts w:ascii="Verdana" w:hAnsi="Verdana"/>
                <w:color w:val="000000"/>
              </w:rPr>
              <w:lastRenderedPageBreak/>
              <w:t xml:space="preserve">Record information in a detailed, sequential, and unbiased manner. Information must be factual and objective, recording only what actually happened. Anticipate what normal behaviors look like by reviewing child development texts to understand the age and stage of this child. Consider each of six domains: physical, language, aesthetic, cognitive, emotional, and social. </w:t>
            </w:r>
          </w:p>
          <w:p w:rsidR="00B126B8" w:rsidRDefault="00B126B8">
            <w:pPr>
              <w:pStyle w:val="NormalWeb"/>
              <w:spacing w:before="0" w:beforeAutospacing="0" w:after="0" w:afterAutospacing="0"/>
              <w:ind w:left="720"/>
            </w:pPr>
            <w:r>
              <w:rPr>
                <w:rFonts w:ascii="Verdana" w:hAnsi="Verdana"/>
                <w:color w:val="000000"/>
                <w:sz w:val="22"/>
                <w:szCs w:val="22"/>
              </w:rPr>
              <w:t> </w:t>
            </w:r>
          </w:p>
          <w:p w:rsidR="00B126B8" w:rsidRDefault="00B126B8">
            <w:pPr>
              <w:numPr>
                <w:ilvl w:val="0"/>
                <w:numId w:val="5"/>
              </w:numPr>
              <w:rPr>
                <w:color w:val="000000"/>
              </w:rPr>
            </w:pPr>
            <w:r>
              <w:rPr>
                <w:rFonts w:ascii="Verdana" w:hAnsi="Verdana"/>
                <w:color w:val="000000"/>
              </w:rPr>
              <w:t xml:space="preserve">Suggestions: take pictures, make maps, </w:t>
            </w:r>
            <w:proofErr w:type="gramStart"/>
            <w:r>
              <w:rPr>
                <w:rFonts w:ascii="Verdana" w:hAnsi="Verdana"/>
                <w:color w:val="000000"/>
              </w:rPr>
              <w:t>use</w:t>
            </w:r>
            <w:proofErr w:type="gramEnd"/>
            <w:r>
              <w:rPr>
                <w:rFonts w:ascii="Verdana" w:hAnsi="Verdana"/>
                <w:color w:val="000000"/>
              </w:rPr>
              <w:t xml:space="preserve"> TIME SAMPLING and EVENT SAMPLING to aid your RUNNING RECORD. </w:t>
            </w:r>
          </w:p>
          <w:p w:rsidR="00B126B8" w:rsidRDefault="00B126B8">
            <w:pPr>
              <w:pStyle w:val="NormalWeb"/>
              <w:spacing w:before="0" w:beforeAutospacing="0" w:after="200" w:afterAutospacing="0"/>
            </w:pPr>
          </w:p>
          <w:p w:rsidR="00B126B8" w:rsidRDefault="00B126B8">
            <w:pPr>
              <w:pStyle w:val="NormalWeb"/>
              <w:spacing w:before="0" w:beforeAutospacing="0" w:after="200" w:afterAutospacing="0"/>
            </w:pPr>
            <w:r>
              <w:rPr>
                <w:rFonts w:ascii="Verdana" w:hAnsi="Verdana"/>
                <w:color w:val="000000"/>
              </w:rPr>
              <w:t xml:space="preserve">After the observation, in the quiet of your study (or the computer lab), reflect on what you saw. Type a reflection (one – two pages) containing three sections. </w:t>
            </w:r>
          </w:p>
          <w:p w:rsidR="00B126B8" w:rsidRDefault="00B126B8">
            <w:pPr>
              <w:numPr>
                <w:ilvl w:val="0"/>
                <w:numId w:val="6"/>
              </w:numPr>
              <w:rPr>
                <w:color w:val="000000"/>
              </w:rPr>
            </w:pPr>
            <w:r>
              <w:rPr>
                <w:rFonts w:ascii="Verdana" w:hAnsi="Verdana"/>
                <w:color w:val="000000"/>
              </w:rPr>
              <w:t xml:space="preserve">Background of the observation. Tell about the child, her age and developmental stage, her family and siblings, and her daily childcare arrangements. Include here the location and setting of this observation, and the contact info for your host. </w:t>
            </w:r>
          </w:p>
          <w:p w:rsidR="00B126B8" w:rsidRDefault="00B126B8">
            <w:pPr>
              <w:pStyle w:val="NormalWeb"/>
              <w:spacing w:before="0" w:beforeAutospacing="0" w:after="0" w:afterAutospacing="0"/>
              <w:ind w:left="720"/>
            </w:pPr>
          </w:p>
          <w:p w:rsidR="00B126B8" w:rsidRPr="0059131A" w:rsidRDefault="00B126B8">
            <w:pPr>
              <w:numPr>
                <w:ilvl w:val="0"/>
                <w:numId w:val="7"/>
              </w:numPr>
              <w:rPr>
                <w:color w:val="000000"/>
              </w:rPr>
            </w:pPr>
            <w:r>
              <w:rPr>
                <w:rFonts w:ascii="Verdana" w:hAnsi="Verdana"/>
                <w:color w:val="000000"/>
              </w:rPr>
              <w:t xml:space="preserve">Describe the observation. Quickly tell what you saw the child do (performance), using descriptive language to talk about how the child did what they did (processes), and finally, include clear descriptions of what the child created or produced (products). </w:t>
            </w:r>
          </w:p>
          <w:p w:rsidR="0059131A" w:rsidRDefault="0059131A" w:rsidP="0059131A">
            <w:pPr>
              <w:ind w:left="720"/>
              <w:rPr>
                <w:color w:val="000000"/>
              </w:rPr>
            </w:pPr>
          </w:p>
          <w:p w:rsidR="00B126B8" w:rsidRDefault="00B126B8">
            <w:pPr>
              <w:numPr>
                <w:ilvl w:val="0"/>
                <w:numId w:val="7"/>
              </w:numPr>
              <w:rPr>
                <w:color w:val="000000"/>
              </w:rPr>
            </w:pPr>
            <w:r>
              <w:rPr>
                <w:rFonts w:ascii="Verdana" w:hAnsi="Verdana"/>
                <w:color w:val="000000"/>
              </w:rPr>
              <w:t xml:space="preserve">Make an interpretation, using comments and analysis, drawing inferences and conclusions based on objective facts included in your field notes. </w:t>
            </w:r>
          </w:p>
          <w:p w:rsidR="00B126B8" w:rsidRDefault="00B126B8">
            <w:pPr>
              <w:pStyle w:val="NormalWeb"/>
              <w:spacing w:before="0" w:beforeAutospacing="0" w:after="200" w:afterAutospacing="0"/>
            </w:pPr>
          </w:p>
          <w:p w:rsidR="00B126B8" w:rsidRDefault="00B126B8">
            <w:pPr>
              <w:pStyle w:val="NormalWeb"/>
              <w:spacing w:before="0" w:beforeAutospacing="0" w:after="200" w:afterAutospacing="0"/>
            </w:pPr>
            <w:r>
              <w:rPr>
                <w:rFonts w:ascii="Verdana" w:hAnsi="Verdana"/>
                <w:color w:val="000000"/>
              </w:rPr>
              <w:t xml:space="preserve">Before going into the field, plan your observation: </w:t>
            </w:r>
          </w:p>
          <w:p w:rsidR="00B126B8" w:rsidRDefault="00B126B8">
            <w:pPr>
              <w:numPr>
                <w:ilvl w:val="0"/>
                <w:numId w:val="8"/>
              </w:numPr>
              <w:spacing w:after="200"/>
              <w:rPr>
                <w:color w:val="000000"/>
              </w:rPr>
            </w:pPr>
            <w:r>
              <w:rPr>
                <w:rFonts w:ascii="Verdana" w:hAnsi="Verdana"/>
                <w:color w:val="000000"/>
              </w:rPr>
              <w:t xml:space="preserve">For infants and toddlers, read chapters 6-9. What are the characteristics of different domains of child development? </w:t>
            </w:r>
          </w:p>
          <w:p w:rsidR="00B126B8" w:rsidRDefault="00B126B8">
            <w:pPr>
              <w:numPr>
                <w:ilvl w:val="0"/>
                <w:numId w:val="8"/>
              </w:numPr>
              <w:spacing w:after="200"/>
              <w:rPr>
                <w:color w:val="000000"/>
              </w:rPr>
            </w:pPr>
            <w:r>
              <w:rPr>
                <w:rFonts w:ascii="Verdana" w:hAnsi="Verdana"/>
                <w:color w:val="000000"/>
              </w:rPr>
              <w:t xml:space="preserve">For pre-k and Kindergartners, read chapters 10-13. </w:t>
            </w:r>
          </w:p>
          <w:p w:rsidR="00B126B8" w:rsidRDefault="00B126B8">
            <w:pPr>
              <w:numPr>
                <w:ilvl w:val="0"/>
                <w:numId w:val="8"/>
              </w:numPr>
              <w:spacing w:after="200"/>
              <w:rPr>
                <w:color w:val="000000"/>
              </w:rPr>
            </w:pPr>
            <w:r>
              <w:rPr>
                <w:rFonts w:ascii="Verdana" w:hAnsi="Verdana"/>
                <w:color w:val="000000"/>
              </w:rPr>
              <w:t xml:space="preserve">For the primary aged, elementary child, read chapters 14-17. </w:t>
            </w:r>
          </w:p>
          <w:p w:rsidR="00B126B8" w:rsidRDefault="00B126B8">
            <w:pPr>
              <w:pStyle w:val="NormalWeb"/>
              <w:spacing w:before="0" w:beforeAutospacing="0" w:after="200" w:afterAutospacing="0"/>
            </w:pPr>
            <w:r>
              <w:rPr>
                <w:rFonts w:ascii="Verdana" w:hAnsi="Verdana"/>
                <w:b/>
                <w:bCs/>
                <w:color w:val="000000"/>
              </w:rPr>
              <w:t xml:space="preserve">Final Thoughts - </w:t>
            </w:r>
            <w:r>
              <w:rPr>
                <w:rFonts w:ascii="Verdana" w:hAnsi="Verdana"/>
                <w:color w:val="000000"/>
              </w:rPr>
              <w:t>You can do this, and you can do this well.</w:t>
            </w:r>
            <w:r>
              <w:rPr>
                <w:rFonts w:ascii="Verdana" w:hAnsi="Verdana"/>
                <w:color w:val="000000"/>
                <w:sz w:val="22"/>
                <w:szCs w:val="22"/>
              </w:rPr>
              <w:t xml:space="preserve"> </w:t>
            </w:r>
          </w:p>
          <w:tbl>
            <w:tblPr>
              <w:tblW w:w="5000" w:type="pct"/>
              <w:tblCellSpacing w:w="22" w:type="dxa"/>
              <w:tblCellMar>
                <w:left w:w="0" w:type="dxa"/>
                <w:right w:w="0" w:type="dxa"/>
              </w:tblCellMar>
              <w:tblLook w:val="04A0" w:firstRow="1" w:lastRow="0" w:firstColumn="1" w:lastColumn="0" w:noHBand="0" w:noVBand="1"/>
            </w:tblPr>
            <w:tblGrid>
              <w:gridCol w:w="219"/>
              <w:gridCol w:w="197"/>
              <w:gridCol w:w="7640"/>
              <w:gridCol w:w="197"/>
              <w:gridCol w:w="219"/>
            </w:tblGrid>
            <w:tr w:rsidR="00B126B8" w:rsidTr="0059131A">
              <w:trPr>
                <w:tblCellSpacing w:w="22" w:type="dxa"/>
              </w:trPr>
              <w:tc>
                <w:tcPr>
                  <w:tcW w:w="0" w:type="auto"/>
                  <w:shd w:val="clear" w:color="auto" w:fill="F4A460"/>
                  <w:tcMar>
                    <w:top w:w="15" w:type="dxa"/>
                    <w:left w:w="15" w:type="dxa"/>
                    <w:bottom w:w="15" w:type="dxa"/>
                    <w:right w:w="15" w:type="dxa"/>
                  </w:tcMar>
                  <w:vAlign w:val="center"/>
                  <w:hideMark/>
                </w:tcPr>
                <w:p w:rsidR="00B126B8" w:rsidRDefault="00B126B8">
                  <w:pPr>
                    <w:pStyle w:val="NormalWeb"/>
                    <w:spacing w:before="0" w:beforeAutospacing="0" w:after="0" w:afterAutospacing="0"/>
                  </w:pPr>
                  <w:r>
                    <w:rPr>
                      <w:rFonts w:ascii="Arial" w:hAnsi="Arial" w:cs="Arial"/>
                      <w:color w:val="000000"/>
                      <w:sz w:val="22"/>
                      <w:szCs w:val="22"/>
                    </w:rPr>
                    <w:t> </w:t>
                  </w:r>
                </w:p>
              </w:tc>
              <w:tc>
                <w:tcPr>
                  <w:tcW w:w="0" w:type="auto"/>
                  <w:shd w:val="clear" w:color="auto" w:fill="FFD700"/>
                  <w:tcMar>
                    <w:top w:w="15" w:type="dxa"/>
                    <w:left w:w="15" w:type="dxa"/>
                    <w:bottom w:w="15" w:type="dxa"/>
                    <w:right w:w="15" w:type="dxa"/>
                  </w:tcMar>
                  <w:vAlign w:val="center"/>
                  <w:hideMark/>
                </w:tcPr>
                <w:p w:rsidR="00B126B8" w:rsidRDefault="00B126B8">
                  <w:pPr>
                    <w:pStyle w:val="NormalWeb"/>
                    <w:spacing w:before="0" w:beforeAutospacing="0" w:after="0" w:afterAutospacing="0"/>
                  </w:pPr>
                  <w:r>
                    <w:rPr>
                      <w:rFonts w:ascii="Arial" w:hAnsi="Arial" w:cs="Arial"/>
                      <w:color w:val="000000"/>
                      <w:sz w:val="22"/>
                      <w:szCs w:val="22"/>
                    </w:rPr>
                    <w:t> </w:t>
                  </w:r>
                </w:p>
              </w:tc>
              <w:tc>
                <w:tcPr>
                  <w:tcW w:w="4627" w:type="pct"/>
                  <w:shd w:val="clear" w:color="auto" w:fill="191970"/>
                  <w:tcMar>
                    <w:top w:w="15" w:type="dxa"/>
                    <w:left w:w="15" w:type="dxa"/>
                    <w:bottom w:w="15" w:type="dxa"/>
                    <w:right w:w="15" w:type="dxa"/>
                  </w:tcMar>
                  <w:vAlign w:val="center"/>
                  <w:hideMark/>
                </w:tcPr>
                <w:p w:rsidR="00B126B8" w:rsidRDefault="00B126B8">
                  <w:pPr>
                    <w:pStyle w:val="NormalWeb"/>
                    <w:spacing w:before="0" w:beforeAutospacing="0" w:after="0" w:afterAutospacing="0"/>
                  </w:pPr>
                  <w:r>
                    <w:rPr>
                      <w:rFonts w:ascii="Arial" w:hAnsi="Arial" w:cs="Arial"/>
                      <w:color w:val="000000"/>
                      <w:sz w:val="22"/>
                      <w:szCs w:val="22"/>
                    </w:rPr>
                    <w:t> </w:t>
                  </w:r>
                </w:p>
              </w:tc>
              <w:tc>
                <w:tcPr>
                  <w:tcW w:w="0" w:type="auto"/>
                  <w:shd w:val="clear" w:color="auto" w:fill="FFD700"/>
                  <w:tcMar>
                    <w:top w:w="15" w:type="dxa"/>
                    <w:left w:w="15" w:type="dxa"/>
                    <w:bottom w:w="15" w:type="dxa"/>
                    <w:right w:w="15" w:type="dxa"/>
                  </w:tcMar>
                  <w:vAlign w:val="center"/>
                  <w:hideMark/>
                </w:tcPr>
                <w:p w:rsidR="00B126B8" w:rsidRDefault="00B126B8">
                  <w:pPr>
                    <w:pStyle w:val="NormalWeb"/>
                    <w:spacing w:before="0" w:beforeAutospacing="0" w:after="0" w:afterAutospacing="0"/>
                  </w:pPr>
                  <w:r>
                    <w:rPr>
                      <w:rFonts w:ascii="Arial" w:hAnsi="Arial" w:cs="Arial"/>
                      <w:color w:val="000000"/>
                      <w:sz w:val="22"/>
                      <w:szCs w:val="22"/>
                    </w:rPr>
                    <w:t> </w:t>
                  </w:r>
                </w:p>
              </w:tc>
              <w:tc>
                <w:tcPr>
                  <w:tcW w:w="0" w:type="auto"/>
                  <w:shd w:val="clear" w:color="auto" w:fill="F4A460"/>
                  <w:tcMar>
                    <w:top w:w="15" w:type="dxa"/>
                    <w:left w:w="15" w:type="dxa"/>
                    <w:bottom w:w="15" w:type="dxa"/>
                    <w:right w:w="15" w:type="dxa"/>
                  </w:tcMar>
                  <w:vAlign w:val="center"/>
                  <w:hideMark/>
                </w:tcPr>
                <w:p w:rsidR="00B126B8" w:rsidRDefault="00B126B8">
                  <w:pPr>
                    <w:pStyle w:val="NormalWeb"/>
                    <w:spacing w:before="0" w:beforeAutospacing="0" w:after="0" w:afterAutospacing="0"/>
                  </w:pPr>
                  <w:r>
                    <w:rPr>
                      <w:rFonts w:ascii="Arial" w:hAnsi="Arial" w:cs="Arial"/>
                      <w:color w:val="000000"/>
                      <w:sz w:val="22"/>
                      <w:szCs w:val="22"/>
                    </w:rPr>
                    <w:t> </w:t>
                  </w:r>
                </w:p>
              </w:tc>
            </w:tr>
          </w:tbl>
          <w:p w:rsidR="00B126B8" w:rsidRDefault="00B126B8"/>
        </w:tc>
      </w:tr>
    </w:tbl>
    <w:p w:rsidR="00A92CA3" w:rsidRDefault="00A92CA3" w:rsidP="0059131A">
      <w:pPr>
        <w:pStyle w:val="NormalWeb"/>
        <w:spacing w:before="0" w:beforeAutospacing="0" w:after="0" w:afterAutospacing="0"/>
      </w:pPr>
      <w:bookmarkStart w:id="0" w:name="_GoBack"/>
      <w:bookmarkEnd w:id="0"/>
    </w:p>
    <w:sectPr w:rsidR="00A9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0245"/>
    <w:multiLevelType w:val="multilevel"/>
    <w:tmpl w:val="9CE8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4294D"/>
    <w:multiLevelType w:val="multilevel"/>
    <w:tmpl w:val="51B8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A7C76"/>
    <w:multiLevelType w:val="multilevel"/>
    <w:tmpl w:val="04E648E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B4850"/>
    <w:multiLevelType w:val="multilevel"/>
    <w:tmpl w:val="EBB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5D1B4E"/>
    <w:multiLevelType w:val="multilevel"/>
    <w:tmpl w:val="6AFA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4D3C3C"/>
    <w:multiLevelType w:val="multilevel"/>
    <w:tmpl w:val="1FB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06B08"/>
    <w:multiLevelType w:val="multilevel"/>
    <w:tmpl w:val="D094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714F3A"/>
    <w:multiLevelType w:val="multilevel"/>
    <w:tmpl w:val="316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B8"/>
    <w:rsid w:val="002E44C5"/>
    <w:rsid w:val="0059131A"/>
    <w:rsid w:val="006622E6"/>
    <w:rsid w:val="00A92CA3"/>
    <w:rsid w:val="00B1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3127"/>
  <w15:chartTrackingRefBased/>
  <w15:docId w15:val="{50097CAD-F3FE-47E5-9047-B4B94D0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6B8"/>
    <w:pPr>
      <w:spacing w:before="100" w:beforeAutospacing="1" w:after="100" w:afterAutospacing="1"/>
    </w:pPr>
  </w:style>
  <w:style w:type="character" w:styleId="Hyperlink">
    <w:name w:val="Hyperlink"/>
    <w:basedOn w:val="DefaultParagraphFont"/>
    <w:uiPriority w:val="99"/>
    <w:semiHidden/>
    <w:unhideWhenUsed/>
    <w:rsid w:val="00B12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tamuc.edu/jthompson/observation/" TargetMode="External"/><Relationship Id="rId5" Type="http://schemas.openxmlformats.org/officeDocument/2006/relationships/hyperlink" Target="/d2l/common/dialogs/quickLink/quickLink.d2l?ou=%7borgUnitId%7d&amp;type=coursefile&amp;fileId=MakingAList.p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Josh Thompson</cp:lastModifiedBy>
  <cp:revision>4</cp:revision>
  <cp:lastPrinted>2019-10-22T16:19:00Z</cp:lastPrinted>
  <dcterms:created xsi:type="dcterms:W3CDTF">2019-10-22T16:11:00Z</dcterms:created>
  <dcterms:modified xsi:type="dcterms:W3CDTF">2019-10-22T16:20:00Z</dcterms:modified>
</cp:coreProperties>
</file>